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система-непрерывных-улучшений"/>
    <w:p>
      <w:pPr>
        <w:pStyle w:val="Heading1"/>
      </w:pPr>
      <w:r>
        <w:t xml:space="preserve">Система непрерывных улучшений</w:t>
      </w:r>
    </w:p>
    <w:p>
      <w:pPr>
        <w:pStyle w:val="FirstParagraph"/>
      </w:pPr>
      <w:r>
        <w:t xml:space="preserve">Версия 1.0 · CC BY-SA 4.0 · AntiManager</w:t>
      </w:r>
    </w:p>
    <w:bookmarkStart w:id="9" w:name="что-это"/>
    <w:p>
      <w:pPr>
        <w:pStyle w:val="Heading2"/>
      </w:pPr>
      <w:r>
        <w:t xml:space="preserve">Что это</w:t>
      </w:r>
    </w:p>
    <w:p>
      <w:pPr>
        <w:pStyle w:val="FirstParagraph"/>
      </w:pPr>
      <w:r>
        <w:t xml:space="preserve">Система непрерывных улучшений — это управляемый контур, в котором любой сотрудник может предложить улучшение, быстро получить ответ и довести простые изменения до результата. Сложные инициативы при этом не теряются в общем потоке идей, а переходят в проектный контур с базовой линией, подтверждением выгоды и точками принятия решений.</w:t>
      </w:r>
    </w:p>
    <w:p>
      <w:pPr>
        <w:pStyle w:val="BodyText"/>
      </w:pPr>
      <w:r>
        <w:t xml:space="preserve">СНУ решает три задачи:</w:t>
      </w:r>
    </w:p>
    <w:p>
      <w:pPr>
        <w:pStyle w:val="Compact"/>
        <w:numPr>
          <w:ilvl w:val="0"/>
          <w:numId w:val="1001"/>
        </w:numPr>
      </w:pPr>
      <w:r>
        <w:t xml:space="preserve">даёт всем сменам простой и доступный канал подачи предложений;</w:t>
      </w:r>
    </w:p>
    <w:p>
      <w:pPr>
        <w:pStyle w:val="Compact"/>
        <w:numPr>
          <w:ilvl w:val="0"/>
          <w:numId w:val="1001"/>
        </w:numPr>
      </w:pPr>
      <w:r>
        <w:t xml:space="preserve">отделяет быстрые улучшения от проектов, чтобы не гонять мелкую идею через проектную бюрократию;</w:t>
      </w:r>
    </w:p>
    <w:p>
      <w:pPr>
        <w:pStyle w:val="Compact"/>
        <w:numPr>
          <w:ilvl w:val="0"/>
          <w:numId w:val="1001"/>
        </w:numPr>
      </w:pPr>
      <w:r>
        <w:t xml:space="preserve">делает эффект проверяемым: у каждой выгоды есть владелец, базовая линия и независимая проверка.</w:t>
      </w:r>
    </w:p>
    <w:bookmarkEnd w:id="9"/>
    <w:bookmarkStart w:id="10" w:name="два-контура"/>
    <w:p>
      <w:pPr>
        <w:pStyle w:val="Heading2"/>
      </w:pPr>
      <w:r>
        <w:t xml:space="preserve">Два контура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Контур</w:t>
            </w:r>
          </w:p>
        </w:tc>
        <w:tc>
          <w:tcPr/>
          <w:p>
            <w:pPr>
              <w:pStyle w:val="Compact"/>
            </w:pPr>
            <w:r>
              <w:t xml:space="preserve">Что в нём</w:t>
            </w:r>
          </w:p>
        </w:tc>
        <w:tc>
          <w:tcPr/>
          <w:p>
            <w:pPr>
              <w:pStyle w:val="Compact"/>
            </w:pPr>
            <w:r>
              <w:t xml:space="preserve">Кто отвечает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Контур непрерывных улучшений</w:t>
            </w:r>
          </w:p>
        </w:tc>
        <w:tc>
          <w:tcPr/>
          <w:p>
            <w:pPr>
              <w:pStyle w:val="Compact"/>
            </w:pPr>
            <w:r>
              <w:t xml:space="preserve">Массовые инициативы, быстрые улучшения, культура вовлечения</w:t>
            </w:r>
          </w:p>
        </w:tc>
        <w:tc>
          <w:tcPr/>
          <w:p>
            <w:pPr>
              <w:pStyle w:val="Compact"/>
            </w:pPr>
            <w:r>
              <w:t xml:space="preserve">Линейные руководители и куратор улучшений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Проектный контур</w:t>
            </w:r>
          </w:p>
        </w:tc>
        <w:tc>
          <w:tcPr/>
          <w:p>
            <w:pPr>
              <w:pStyle w:val="Compact"/>
            </w:pPr>
            <w:r>
              <w:t xml:space="preserve">Сложные, капитальные, стратегические и регуляторные изменения</w:t>
            </w:r>
          </w:p>
        </w:tc>
        <w:tc>
          <w:tcPr/>
          <w:p>
            <w:pPr>
              <w:pStyle w:val="Compact"/>
            </w:pPr>
            <w:r>
              <w:t xml:space="preserve">Проектный офис или назначенный руководитель</w:t>
            </w:r>
          </w:p>
        </w:tc>
      </w:tr>
    </w:tbl>
    <w:p>
      <w:pPr>
        <w:pStyle w:val="BodyText"/>
      </w:pPr>
      <w:r>
        <w:t xml:space="preserve">Инициатива начинается в контуре улучшений и передаётся в проектный контур только при превышении порога передачи. Стратегические, капитальные и регуляторные инициативы входят в проектный контур сразу.</w:t>
      </w:r>
    </w:p>
    <w:bookmarkEnd w:id="10"/>
    <w:bookmarkStart w:id="11" w:name="три-уровня"/>
    <w:p>
      <w:pPr>
        <w:pStyle w:val="Heading2"/>
      </w:pPr>
      <w:r>
        <w:t xml:space="preserve">Три уровня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Характер задачи</w:t>
            </w:r>
          </w:p>
        </w:tc>
        <w:tc>
          <w:tcPr/>
          <w:p>
            <w:pPr>
              <w:pStyle w:val="Compact"/>
            </w:pPr>
            <w:r>
              <w:t xml:space="preserve">Кто решает</w:t>
            </w:r>
          </w:p>
        </w:tc>
        <w:tc>
          <w:tcPr/>
          <w:p>
            <w:pPr>
              <w:pStyle w:val="Compact"/>
            </w:pPr>
            <w:r>
              <w:t xml:space="preserve">Горизонт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— операционный</w:t>
            </w:r>
          </w:p>
        </w:tc>
        <w:tc>
          <w:tcPr/>
          <w:p>
            <w:pPr>
              <w:pStyle w:val="Compact"/>
            </w:pPr>
            <w:r>
              <w:t xml:space="preserve">Локальная, явная проблема</w:t>
            </w:r>
          </w:p>
        </w:tc>
        <w:tc>
          <w:tcPr/>
          <w:p>
            <w:pPr>
              <w:pStyle w:val="Compact"/>
            </w:pPr>
            <w:r>
              <w:t xml:space="preserve">Линейный руководитель</w:t>
            </w:r>
          </w:p>
        </w:tc>
        <w:tc>
          <w:tcPr/>
          <w:p>
            <w:pPr>
              <w:pStyle w:val="Compact"/>
            </w:pPr>
            <w:r>
              <w:t xml:space="preserve">до нескольких дней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— системный</w:t>
            </w:r>
          </w:p>
        </w:tc>
        <w:tc>
          <w:tcPr/>
          <w:p>
            <w:pPr>
              <w:pStyle w:val="Compact"/>
            </w:pPr>
            <w:r>
              <w:t xml:space="preserve">Проблема с риском повторения</w:t>
            </w:r>
          </w:p>
        </w:tc>
        <w:tc>
          <w:tcPr/>
          <w:p>
            <w:pPr>
              <w:pStyle w:val="Compact"/>
            </w:pPr>
            <w:r>
              <w:t xml:space="preserve">Руководитель среднего звена или комитет</w:t>
            </w:r>
          </w:p>
        </w:tc>
        <w:tc>
          <w:tcPr/>
          <w:p>
            <w:pPr>
              <w:pStyle w:val="Compact"/>
            </w:pPr>
            <w:r>
              <w:t xml:space="preserve">до месяца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— стратегический</w:t>
            </w:r>
          </w:p>
        </w:tc>
        <w:tc>
          <w:tcPr/>
          <w:p>
            <w:pPr>
              <w:pStyle w:val="Compact"/>
            </w:pPr>
            <w:r>
              <w:t xml:space="preserve">Сложная задача, меняющая стандарт, роль или KPI</w:t>
            </w:r>
          </w:p>
        </w:tc>
        <w:tc>
          <w:tcPr/>
          <w:p>
            <w:pPr>
              <w:pStyle w:val="Compact"/>
            </w:pPr>
            <w:r>
              <w:t xml:space="preserve">Комитет или проектный офис</w:t>
            </w:r>
          </w:p>
        </w:tc>
        <w:tc>
          <w:tcPr/>
          <w:p>
            <w:pPr>
              <w:pStyle w:val="Compact"/>
            </w:pPr>
            <w:r>
              <w:t xml:space="preserve">свыше месяца</w:t>
            </w:r>
          </w:p>
        </w:tc>
      </w:tr>
    </w:tbl>
    <w:p>
      <w:pPr>
        <w:pStyle w:val="BodyText"/>
      </w:pPr>
      <w:r>
        <w:t xml:space="preserve">Уровень определяется по наивысшему из критериев: сложность, стоимость, срок, влияние на корпоративный стандарт и безопасность.</w:t>
      </w:r>
    </w:p>
    <w:bookmarkEnd w:id="11"/>
    <w:bookmarkStart w:id="12" w:name="шесть-типов-исполнения"/>
    <w:p>
      <w:pPr>
        <w:pStyle w:val="Heading2"/>
      </w:pPr>
      <w:r>
        <w:t xml:space="preserve">Шесть типов исполнения</w:t>
      </w:r>
    </w:p>
    <w:p>
      <w:pPr>
        <w:pStyle w:val="Compact"/>
        <w:numPr>
          <w:ilvl w:val="0"/>
          <w:numId w:val="1002"/>
        </w:numPr>
      </w:pPr>
      <w:r>
        <w:t xml:space="preserve">Мощности и активы.</w:t>
      </w:r>
    </w:p>
    <w:p>
      <w:pPr>
        <w:pStyle w:val="Compact"/>
        <w:numPr>
          <w:ilvl w:val="0"/>
          <w:numId w:val="1002"/>
        </w:numPr>
      </w:pPr>
      <w:r>
        <w:t xml:space="preserve">Продукт, технология, модернизация.</w:t>
      </w:r>
    </w:p>
    <w:p>
      <w:pPr>
        <w:pStyle w:val="Compact"/>
        <w:numPr>
          <w:ilvl w:val="0"/>
          <w:numId w:val="1002"/>
        </w:numPr>
      </w:pPr>
      <w:r>
        <w:t xml:space="preserve">Организационные изменения.</w:t>
      </w:r>
    </w:p>
    <w:p>
      <w:pPr>
        <w:pStyle w:val="Compact"/>
        <w:numPr>
          <w:ilvl w:val="0"/>
          <w:numId w:val="1002"/>
        </w:numPr>
      </w:pPr>
      <w:r>
        <w:t xml:space="preserve">Цифровые решения.</w:t>
      </w:r>
    </w:p>
    <w:p>
      <w:pPr>
        <w:pStyle w:val="Compact"/>
        <w:numPr>
          <w:ilvl w:val="0"/>
          <w:numId w:val="1002"/>
        </w:numPr>
      </w:pPr>
      <w:r>
        <w:t xml:space="preserve">Улучшения процессов и рабочих мест.</w:t>
      </w:r>
    </w:p>
    <w:p>
      <w:pPr>
        <w:pStyle w:val="Compact"/>
        <w:numPr>
          <w:ilvl w:val="0"/>
          <w:numId w:val="1002"/>
        </w:numPr>
      </w:pPr>
      <w:r>
        <w:t xml:space="preserve">Комплаенс и обязательные требования.</w:t>
      </w:r>
    </w:p>
    <w:p>
      <w:pPr>
        <w:pStyle w:val="FirstParagraph"/>
      </w:pPr>
      <w:r>
        <w:t xml:space="preserve">Тип исполнения задаёт жизненный цикл инициативы: у улучшения он короткий, у проекта — стадийный, с точками принятия решений.</w:t>
      </w:r>
    </w:p>
    <w:bookmarkEnd w:id="12"/>
    <w:bookmarkStart w:id="13" w:name="семь-классов-эффекта"/>
    <w:p>
      <w:pPr>
        <w:pStyle w:val="Heading2"/>
      </w:pPr>
      <w:r>
        <w:t xml:space="preserve">Семь классов эффекта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Класс</w:t>
            </w:r>
          </w:p>
        </w:tc>
        <w:tc>
          <w:tcPr/>
          <w:p>
            <w:pPr>
              <w:pStyle w:val="Compact"/>
            </w:pPr>
            <w:r>
              <w:t xml:space="preserve">Что означает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Деньги: подтверждённая экономия или дополнительная выручка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Известные потери: сокращение измеряемых потерь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Неизвестные потери: эффект есть, но его трудно посчитать заранее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Качество решений: скорость и точность управленческих решений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Риск и комплаенс: снижение вероятности или последствий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Способность и платформа: создание инфраструктуры для будущих улучшений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Эксперимент: проверка гипотезы, где результат может быть отрицательным</w:t>
            </w:r>
          </w:p>
        </w:tc>
      </w:tr>
    </w:tbl>
    <w:p>
      <w:pPr>
        <w:pStyle w:val="BodyText"/>
      </w:pPr>
      <w:r>
        <w:t xml:space="preserve">Один эффект — один первичный класс. Это защищает от двойного счёта и завышения выгод.</w:t>
      </w:r>
    </w:p>
    <w:bookmarkEnd w:id="13"/>
    <w:bookmarkStart w:id="14" w:name="что-внутри-полного-регламента"/>
    <w:p>
      <w:pPr>
        <w:pStyle w:val="Heading2"/>
      </w:pPr>
      <w:r>
        <w:t xml:space="preserve">Что внутри полного регламента</w:t>
      </w:r>
    </w:p>
    <w:p>
      <w:pPr>
        <w:pStyle w:val="FirstParagraph"/>
      </w:pPr>
      <w:r>
        <w:t xml:space="preserve">Полный регламент — это рабочий документ для внедрения, а не презентация. В нём есть:</w:t>
      </w:r>
    </w:p>
    <w:p>
      <w:pPr>
        <w:pStyle w:val="Compact"/>
        <w:numPr>
          <w:ilvl w:val="0"/>
          <w:numId w:val="1003"/>
        </w:numPr>
      </w:pPr>
      <w:r>
        <w:t xml:space="preserve">нормативное ядро: принципы, контуры, уровни, типы, классы, процесс, роли, инварианты;</w:t>
      </w:r>
    </w:p>
    <w:p>
      <w:pPr>
        <w:pStyle w:val="Compact"/>
        <w:numPr>
          <w:ilvl w:val="0"/>
          <w:numId w:val="1003"/>
        </w:numPr>
      </w:pPr>
      <w:r>
        <w:t xml:space="preserve">паспорт параметров, которые настраиваются под предприятие в заданных границах;</w:t>
      </w:r>
    </w:p>
    <w:p>
      <w:pPr>
        <w:pStyle w:val="Compact"/>
        <w:numPr>
          <w:ilvl w:val="0"/>
          <w:numId w:val="1003"/>
        </w:numPr>
      </w:pPr>
      <w:r>
        <w:t xml:space="preserve">пакет внедрения: шаблон Положения о СНУ, бланки, регламент комитета;</w:t>
      </w:r>
    </w:p>
    <w:p>
      <w:pPr>
        <w:pStyle w:val="Compact"/>
        <w:numPr>
          <w:ilvl w:val="0"/>
          <w:numId w:val="1003"/>
        </w:numPr>
      </w:pPr>
      <w:r>
        <w:t xml:space="preserve">чек-лист соответствия для приёмки системы;</w:t>
      </w:r>
    </w:p>
    <w:p>
      <w:pPr>
        <w:pStyle w:val="Compact"/>
        <w:numPr>
          <w:ilvl w:val="0"/>
          <w:numId w:val="1003"/>
        </w:numPr>
      </w:pPr>
      <w:r>
        <w:t xml:space="preserve">плейбук внедрения, типовые ошибки и модель данных для ИТ-системы.</w:t>
      </w:r>
    </w:p>
    <w:bookmarkEnd w:id="14"/>
    <w:bookmarkStart w:id="15" w:name="кому-подходит"/>
    <w:p>
      <w:pPr>
        <w:pStyle w:val="Heading2"/>
      </w:pPr>
      <w:r>
        <w:t xml:space="preserve">Кому подходит</w:t>
      </w:r>
    </w:p>
    <w:p>
      <w:pPr>
        <w:pStyle w:val="Compact"/>
        <w:numPr>
          <w:ilvl w:val="0"/>
          <w:numId w:val="1004"/>
        </w:numPr>
      </w:pPr>
      <w:r>
        <w:t xml:space="preserve">производственным предприятиям, где уже есть lean, 5S или СМК, но идеи сотрудников не доходят до результата;</w:t>
      </w:r>
    </w:p>
    <w:p>
      <w:pPr>
        <w:pStyle w:val="Compact"/>
        <w:numPr>
          <w:ilvl w:val="0"/>
          <w:numId w:val="1004"/>
        </w:numPr>
      </w:pPr>
      <w:r>
        <w:t xml:space="preserve">площадкам, где проектный офис есть только на бумаге или отсутствует;</w:t>
      </w:r>
    </w:p>
    <w:p>
      <w:pPr>
        <w:pStyle w:val="Compact"/>
        <w:numPr>
          <w:ilvl w:val="0"/>
          <w:numId w:val="1004"/>
        </w:numPr>
      </w:pPr>
      <w:r>
        <w:t xml:space="preserve">руководителям, которым нужна не кампания «подай идею», а управляемая система с измеримым эффектом.</w:t>
      </w:r>
    </w:p>
    <w:bookmarkEnd w:id="15"/>
    <w:bookmarkStart w:id="16" w:name="чего-в-брифе-нет"/>
    <w:p>
      <w:pPr>
        <w:pStyle w:val="Heading2"/>
      </w:pPr>
      <w:r>
        <w:t xml:space="preserve">Чего в брифе нет</w:t>
      </w:r>
    </w:p>
    <w:p>
      <w:pPr>
        <w:pStyle w:val="FirstParagraph"/>
      </w:pPr>
      <w:r>
        <w:t xml:space="preserve">Бриф не заменяет регламент и не содержит параметров настройки, бланков и чек-листа соответствия. Он показывает устройство системы и помогает решить, нужен ли полный документ. Полный регламент передаётся предприятию для адаптации и внедрения.</w:t>
      </w:r>
    </w:p>
    <w:bookmarkEnd w:id="16"/>
    <w:bookmarkStart w:id="17" w:name="как-получить-полный-регламент"/>
    <w:p>
      <w:pPr>
        <w:pStyle w:val="Heading2"/>
      </w:pPr>
      <w:r>
        <w:t xml:space="preserve">Как получить полный регламент</w:t>
      </w:r>
    </w:p>
    <w:p>
      <w:pPr>
        <w:pStyle w:val="FirstParagraph"/>
      </w:pPr>
      <w:r>
        <w:t xml:space="preserve">Полный регламент и пакет внедрения предоставляются по запросу. Напишите через форму обратной связи на сайте, выбрав тему «Типовые документы», и укажите масштаб предприятия и текущее состояние работы с предложениями.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2026-10-26T12:20:54Z</dcterms:created>
  <dcterms:modified xsi:type="dcterms:W3CDTF">2026-10-26T12:20:54Z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